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8_document.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38px;height:62px" stroked="f" filled="f">
            <v:imagedata r:id="rId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https://www.campaniapress.it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3.467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https://www.cinquecolonne.it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5.813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https://www.cittadi.it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https://www.cn24tv.it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24.219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https://www.comunicazionenazionale.it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https://www.corcianonline.it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8.877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https://www.corrierediancona.it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https://www.cronachedelmezzogiorno.it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1.576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https://www.cronachedellacalabria.it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2.011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https://www.cronachedibari.com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https://www.cronachedimilano.com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10.832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https://www.gazzettadigenova.it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34.301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https://www.cittadino.ca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6.407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https://www.ilcorrieredibologna.it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https://www.ildenaro.it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190.780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https://www.ilnapolionline.com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40.630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https://www.isolaonline24.it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6.063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https://www.lamilano.it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45.415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https://www.latiburtinanews.it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11.806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https://www.mezzogiornonotizie.it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https://www.oggitreviso.it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177.105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2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https://www.olbianotizie.it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27.811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https://www.padovanews.it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28.000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https://www.palermomania.it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22.989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https://www.radionapolicentro.it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https://www.radiok55.it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3.525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https://www.reggiotv.it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94.330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473px;height:107px" stroked="f" filled="f">
            <v:imagedata r:id="rId3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https://www.reportageonline.it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1.839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https://rete55.it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37.079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7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https://www.rtmweb.it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8.899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8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https://www.sardegnalive.net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424.947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3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https://www.seguonews.it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43.453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https://www.spazio50.org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27.586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https://www.sudefuturi.it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3.943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https://www.sulpanaro.net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32.059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4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4D7B4B5E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A9D3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https://www.tuobenessere.it</w:t>
      </w:r>
    </w:p>
    <w:p w14:paraId="3CD5B4D3" w14:textId="77777777" w:rsidR="001942B3" w:rsidRDefault="00000000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1.000</w:t>
      </w:r>
    </w:p>
    <w:p w14:paraId="6D86D452" w14:textId="77777777" w:rsidR="001942B3" w:rsidRDefault="00000000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10/09/2026</w:t>
      </w:r>
    </w:p>
    <w:p w14:paraId="3CD8DF0F" w14:textId="77777777" w:rsidR="003D0B4A" w:rsidRDefault="009549F6" w:rsidP="002555B2">
      <w:pPr>
        <w:ind w:left="96"/>
        <w:rPr>
          <w:rFonts w:ascii="Georgia" w:hAnsi="Georgia" w:cs="Segoe UI"/>
          <w:b/>
          <w:bCs/>
          <w:color w:val="000000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66F21E3C" w14:textId="77777777" w:rsidR="003D0B4A" w:rsidRPr="009A5387" w:rsidRDefault="003D0B4A" w:rsidP="003D0B4A">
      <w:pPr>
        <w:ind w:left="96"/>
        <w:rPr>
          <w:rFonts w:ascii="Arial" w:hAnsi="Arial" w:cs="Arial"/>
          <w:spacing w:val="-2"/>
          <w:sz w:val="48"/>
          <w:szCs w:val="40"/>
        </w:rPr>
      </w:pPr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Farmaci: </w:t>
      </w:r>
      <w:proofErr w:type="spell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mavacamten</w:t>
      </w:r>
      <w:proofErr w:type="spell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per la cardiomiopatia ipertrofica, benefici confermati fino a </w:t>
      </w:r>
      <w:proofErr w:type="gramStart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>5</w:t>
      </w:r>
      <w:proofErr w:type="gramEnd"/>
      <w:r w:rsidRPr="00E26A12">
        <w:rPr>
          <w:rFonts w:ascii="Georgia" w:hAnsi="Georgia" w:cs="Segoe UI"/>
          <w:b/>
          <w:bCs/>
          <w:color w:val="000000"/>
          <w:sz w:val="40"/>
          <w:szCs w:val="40"/>
        </w:rPr>
        <w:t xml:space="preserve"> anni</w:t>
      </w:r>
      <w:r>
        <w:rPr>
          <w:rFonts w:ascii="Georgia" w:hAnsi="Georgia" w:cs="Segoe UI"/>
          <w:b/>
          <w:bCs/>
          <w:color w:val="000000"/>
          <w:sz w:val="40"/>
          <w:szCs w:val="40"/>
        </w:rPr>
        <w:br/>
      </w:r>
      <w:r>
        <w:rPr>
          <w:noProof/>
        </w:rPr>
        <w:drawing>
          <wp:inline distT="0" distB="0" distL="0" distR="0" wp14:anchorId="01BC989E" wp14:editId="3B379953">
            <wp:extent cx="2377440" cy="2377440"/>
            <wp:effectExtent l="0" t="0" r="3810" b="3810"/>
            <wp:docPr id="6" name="Immagine 5" descr="Bristol Myers Squi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istol Myers Squib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D131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Bristol Myers Squibb (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>) ha presentato i risultati della coorte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dello studio Mava-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in una presentazione late-</w:t>
      </w:r>
      <w:proofErr w:type="spellStart"/>
      <w:r w:rsidRPr="00E26A12">
        <w:rPr>
          <w:rFonts w:ascii="Georgia" w:hAnsi="Georgia" w:cs="Segoe UI"/>
          <w:color w:val="000000"/>
        </w:rPr>
        <w:t>breaker</w:t>
      </w:r>
      <w:proofErr w:type="spellEnd"/>
      <w:r w:rsidRPr="00E26A12">
        <w:rPr>
          <w:rFonts w:ascii="Georgia" w:hAnsi="Georgia" w:cs="Segoe UI"/>
          <w:color w:val="000000"/>
        </w:rPr>
        <w:t xml:space="preserve"> al Congresso 2026 della </w:t>
      </w:r>
      <w:proofErr w:type="spellStart"/>
      <w:r w:rsidRPr="00E26A12">
        <w:rPr>
          <w:rFonts w:ascii="Georgia" w:hAnsi="Georgia" w:cs="Segoe UI"/>
          <w:color w:val="000000"/>
        </w:rPr>
        <w:t>European</w:t>
      </w:r>
      <w:proofErr w:type="spellEnd"/>
      <w:r w:rsidRPr="00E26A12">
        <w:rPr>
          <w:rFonts w:ascii="Georgia" w:hAnsi="Georgia" w:cs="Segoe UI"/>
          <w:color w:val="000000"/>
        </w:rPr>
        <w:t xml:space="preserve"> Society of </w:t>
      </w:r>
      <w:proofErr w:type="spellStart"/>
      <w:r w:rsidRPr="00E26A12">
        <w:rPr>
          <w:rFonts w:ascii="Georgia" w:hAnsi="Georgia" w:cs="Segoe UI"/>
          <w:color w:val="000000"/>
        </w:rPr>
        <w:t>Cardiology</w:t>
      </w:r>
      <w:proofErr w:type="spellEnd"/>
      <w:r w:rsidRPr="00E26A12">
        <w:rPr>
          <w:rFonts w:ascii="Georgia" w:hAnsi="Georgia" w:cs="Segoe UI"/>
          <w:color w:val="000000"/>
        </w:rPr>
        <w:t xml:space="preserve"> (Esc) che si è tenuto a Monaco di Baviera.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informa una nota - rappresenta la più vasta e prolungata valutazione di pazienti con cardiomiopatia ipertrofica ostruttiva (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) sintomatica trattati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un inibitore della miosina cardiaca (</w:t>
      </w:r>
      <w:proofErr w:type="spellStart"/>
      <w:r w:rsidRPr="00E26A12">
        <w:rPr>
          <w:rFonts w:ascii="Georgia" w:hAnsi="Georgia" w:cs="Segoe UI"/>
          <w:color w:val="000000"/>
        </w:rPr>
        <w:t>Cmi</w:t>
      </w:r>
      <w:proofErr w:type="spellEnd"/>
      <w:r w:rsidRPr="00E26A12">
        <w:rPr>
          <w:rFonts w:ascii="Georgia" w:hAnsi="Georgia" w:cs="Segoe UI"/>
          <w:color w:val="000000"/>
        </w:rPr>
        <w:t xml:space="preserve">) ampiamente studiato come trattamento di riferimento per i pazienti affetti da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in classe II-III secondo la classificazione della New York Heart Association (Nyha). Questi dati - si legge - contribuiscono a comprendere che gli effetti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si sono mantenuti fino a </w:t>
      </w:r>
      <w:proofErr w:type="gramStart"/>
      <w:r w:rsidRPr="00E26A12">
        <w:rPr>
          <w:rFonts w:ascii="Georgia" w:hAnsi="Georgia" w:cs="Segoe UI"/>
          <w:color w:val="000000"/>
        </w:rPr>
        <w:t>5</w:t>
      </w:r>
      <w:proofErr w:type="gramEnd"/>
      <w:r w:rsidRPr="00E26A12">
        <w:rPr>
          <w:rFonts w:ascii="Georgia" w:hAnsi="Georgia" w:cs="Segoe UI"/>
          <w:color w:val="000000"/>
        </w:rPr>
        <w:t xml:space="preserve"> anni con un trattamento continuo e costante. Ulteriori presentazioni al Congresso Esc relative a </w:t>
      </w:r>
      <w:proofErr w:type="spellStart"/>
      <w:r w:rsidRPr="00E26A12">
        <w:rPr>
          <w:rFonts w:ascii="Georgia" w:hAnsi="Georgia" w:cs="Segoe UI"/>
          <w:color w:val="000000"/>
        </w:rPr>
        <w:t>Colligo-Hcm</w:t>
      </w:r>
      <w:proofErr w:type="spellEnd"/>
      <w:r w:rsidRPr="00E26A12">
        <w:rPr>
          <w:rFonts w:ascii="Georgia" w:hAnsi="Georgia" w:cs="Segoe UI"/>
          <w:color w:val="000000"/>
        </w:rPr>
        <w:t xml:space="preserve">, uno studio globale retrospettivo di </w:t>
      </w:r>
      <w:proofErr w:type="spellStart"/>
      <w:r w:rsidRPr="00E26A12">
        <w:rPr>
          <w:rFonts w:ascii="Georgia" w:hAnsi="Georgia" w:cs="Segoe UI"/>
          <w:color w:val="000000"/>
        </w:rPr>
        <w:t>real</w:t>
      </w:r>
      <w:proofErr w:type="spellEnd"/>
      <w:r w:rsidRPr="00E26A12">
        <w:rPr>
          <w:rFonts w:ascii="Georgia" w:hAnsi="Georgia" w:cs="Segoe UI"/>
          <w:color w:val="000000"/>
        </w:rPr>
        <w:t xml:space="preserve">-world, vanno ad aggiungersi alle prove già consolidate raccolte nel mondo reale a sostegno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, contribuendo a orientare le decisioni terapeutiche per le persone affette da questa patologia.</w:t>
      </w:r>
    </w:p>
    <w:p w14:paraId="292C2622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"I dati fino a 5 anni di 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evidenziano gli effetti duraturi e clinicamente significativi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 xml:space="preserve"> sintomatica - afferma Anjali T. Owens, direttrice medica del Centro per le cardiopatie ereditarie e professore associato di medicina presso la Perelman School of Medicine dell'università della Pennsylvania - Nel caso di una patologia cronica e progressiva che richiede un trattamento e un monitoraggio continui, i dati a lungo termine sono fondamentali per aiutare i medici a comprendere meglio in che modo una terapia possa apportare benefici ai pazienti nel corso del tempo".</w:t>
      </w:r>
    </w:p>
    <w:p w14:paraId="1DBFBE65" w14:textId="77777777" w:rsidR="003D0B4A" w:rsidRPr="00E26A12" w:rsidRDefault="003D0B4A" w:rsidP="003D0B4A">
      <w:pPr>
        <w:pStyle w:val="NormaleWeb"/>
        <w:shd w:val="clear" w:color="auto" w:fill="FFFFFF"/>
        <w:spacing w:before="0" w:beforeAutospacing="0"/>
        <w:rPr>
          <w:rFonts w:ascii="Georgia" w:hAnsi="Georgia" w:cs="Segoe UI"/>
          <w:color w:val="000000"/>
        </w:rPr>
      </w:pPr>
      <w:r w:rsidRPr="00E26A12">
        <w:rPr>
          <w:rFonts w:ascii="Georgia" w:hAnsi="Georgia" w:cs="Segoe UI"/>
          <w:color w:val="000000"/>
        </w:rPr>
        <w:t>Explorer-</w:t>
      </w:r>
      <w:proofErr w:type="spellStart"/>
      <w:r w:rsidRPr="00E26A12">
        <w:rPr>
          <w:rFonts w:ascii="Georgia" w:hAnsi="Georgia" w:cs="Segoe UI"/>
          <w:color w:val="000000"/>
        </w:rPr>
        <w:t>Lte</w:t>
      </w:r>
      <w:proofErr w:type="spellEnd"/>
      <w:r w:rsidRPr="00E26A12">
        <w:rPr>
          <w:rFonts w:ascii="Georgia" w:hAnsi="Georgia" w:cs="Segoe UI"/>
          <w:color w:val="000000"/>
        </w:rPr>
        <w:t xml:space="preserve"> - dettaglia </w:t>
      </w:r>
      <w:proofErr w:type="spellStart"/>
      <w:r w:rsidRPr="00E26A12">
        <w:rPr>
          <w:rFonts w:ascii="Georgia" w:hAnsi="Georgia" w:cs="Segoe UI"/>
          <w:color w:val="000000"/>
        </w:rPr>
        <w:t>Bms</w:t>
      </w:r>
      <w:proofErr w:type="spellEnd"/>
      <w:r w:rsidRPr="00E26A12">
        <w:rPr>
          <w:rFonts w:ascii="Georgia" w:hAnsi="Georgia" w:cs="Segoe UI"/>
          <w:color w:val="000000"/>
        </w:rPr>
        <w:t xml:space="preserve"> - è lo studio a braccio singolo, in aperto, di estensione dello studio in cieco di fase 3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, per la valutazione della sicurezza e dell'efficacia a lungo termine di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>: 231 pazienti che hanno completato 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sono stati arruolati nello studio di estensione a lungo termine. Una parte consistente dei pazienti ha manifestato una riduzione sostenuta e clinicamente significativa dell'ostruzione del tratto di efflusso ventricolare sinistro (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), un miglioramento di almeno una classe </w:t>
      </w:r>
      <w:r w:rsidRPr="00E26A12">
        <w:rPr>
          <w:rFonts w:ascii="Georgia" w:hAnsi="Georgia" w:cs="Segoe UI"/>
          <w:color w:val="000000"/>
        </w:rPr>
        <w:lastRenderedPageBreak/>
        <w:t>Nyha e notevoli miglioramenti nei parametri ecocardiografici e nei biomarcatori. Non sono stati osservati nuovi segnali di sicurezza che non fossero già stati rilevati nello studio primario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. A 252 settimane, il trattamento con </w:t>
      </w:r>
      <w:proofErr w:type="spellStart"/>
      <w:r w:rsidRPr="00E26A12">
        <w:rPr>
          <w:rFonts w:ascii="Georgia" w:hAnsi="Georgia" w:cs="Segoe UI"/>
          <w:color w:val="000000"/>
        </w:rPr>
        <w:t>mavacamten</w:t>
      </w:r>
      <w:proofErr w:type="spellEnd"/>
      <w:r w:rsidRPr="00E26A12">
        <w:rPr>
          <w:rFonts w:ascii="Georgia" w:hAnsi="Georgia" w:cs="Segoe UI"/>
          <w:color w:val="000000"/>
        </w:rPr>
        <w:t xml:space="preserve"> ha determinato riduzioni medie rispetto al basale dell'inizio dello studio di estensione a lungo termine di -38,7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a riposo e di -55,6 mmHg per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Valsalva. Quasi tutti i pazienti (97,4%) hanno raggiunto un gradiente </w:t>
      </w:r>
      <w:proofErr w:type="spellStart"/>
      <w:r w:rsidRPr="00E26A12">
        <w:rPr>
          <w:rFonts w:ascii="Georgia" w:hAnsi="Georgia" w:cs="Segoe UI"/>
          <w:color w:val="000000"/>
        </w:rPr>
        <w:t>Lvot</w:t>
      </w:r>
      <w:proofErr w:type="spellEnd"/>
      <w:r w:rsidRPr="00E26A12">
        <w:rPr>
          <w:rFonts w:ascii="Georgia" w:hAnsi="Georgia" w:cs="Segoe UI"/>
          <w:color w:val="000000"/>
        </w:rPr>
        <w:t xml:space="preserve"> durante la manovra di Valsalva ≤ 30 mm Hg, che rappresenta la soglia per l'ostruzione nei pazienti con </w:t>
      </w:r>
      <w:proofErr w:type="spellStart"/>
      <w:r w:rsidRPr="00E26A12">
        <w:rPr>
          <w:rFonts w:ascii="Georgia" w:hAnsi="Georgia" w:cs="Segoe UI"/>
          <w:color w:val="000000"/>
        </w:rPr>
        <w:t>oHcm</w:t>
      </w:r>
      <w:proofErr w:type="spellEnd"/>
      <w:r w:rsidRPr="00E26A12">
        <w:rPr>
          <w:rFonts w:ascii="Georgia" w:hAnsi="Georgia" w:cs="Segoe UI"/>
          <w:color w:val="000000"/>
        </w:rPr>
        <w:t>. Il 69,6% dei pazienti ha migliorato di ≥1 classe Nyha e il 59,2% dei pazienti è risultato asintomatico. La frazione di eiezione ventricolare sinistra (</w:t>
      </w:r>
      <w:proofErr w:type="spellStart"/>
      <w:r w:rsidRPr="00E26A12">
        <w:rPr>
          <w:rFonts w:ascii="Georgia" w:hAnsi="Georgia" w:cs="Segoe UI"/>
          <w:color w:val="000000"/>
        </w:rPr>
        <w:t>Lvef</w:t>
      </w:r>
      <w:proofErr w:type="spellEnd"/>
      <w:r w:rsidRPr="00E26A12">
        <w:rPr>
          <w:rFonts w:ascii="Georgia" w:hAnsi="Georgia" w:cs="Segoe UI"/>
          <w:color w:val="000000"/>
        </w:rPr>
        <w:t>) media è diminuita del 10,2% ed è rimasta nell'intervallo di normalità. I risultati di sicurezza sono risultati coerenti con quelli riportati nello studio Explorer-</w:t>
      </w:r>
      <w:proofErr w:type="spellStart"/>
      <w:r w:rsidRPr="00E26A12">
        <w:rPr>
          <w:rFonts w:ascii="Georgia" w:hAnsi="Georgia" w:cs="Segoe UI"/>
          <w:color w:val="000000"/>
        </w:rPr>
        <w:t>Hcm</w:t>
      </w:r>
      <w:proofErr w:type="spellEnd"/>
      <w:r w:rsidRPr="00E26A12">
        <w:rPr>
          <w:rFonts w:ascii="Georgia" w:hAnsi="Georgia" w:cs="Segoe UI"/>
          <w:color w:val="000000"/>
        </w:rPr>
        <w:t xml:space="preserve"> principale.</w:t>
      </w:r>
    </w:p>
    <w:p w14:paraId="5FF7EC93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Ulteriori dati presentati al Congresso Esc - approfondisce ancora </w:t>
      </w:r>
      <w:proofErr w:type="spellStart"/>
      <w:r w:rsidRPr="00E26A12">
        <w:rPr>
          <w:rFonts w:ascii="Georgia" w:hAnsi="Georgia" w:cs="Arial"/>
          <w:spacing w:val="-2"/>
        </w:rPr>
        <w:t>Bms</w:t>
      </w:r>
      <w:proofErr w:type="spellEnd"/>
      <w:r w:rsidRPr="00E26A12">
        <w:rPr>
          <w:rFonts w:ascii="Georgia" w:hAnsi="Georgia" w:cs="Arial"/>
          <w:spacing w:val="-2"/>
        </w:rPr>
        <w:t xml:space="preserve"> - supportano ulteriormente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la comprensione dell'impatto della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. Due presentazioni di </w:t>
      </w:r>
      <w:proofErr w:type="spellStart"/>
      <w:r w:rsidRPr="00E26A12">
        <w:rPr>
          <w:rFonts w:ascii="Georgia" w:hAnsi="Georgia" w:cs="Arial"/>
          <w:spacing w:val="-2"/>
        </w:rPr>
        <w:t>Colligo-Hcm</w:t>
      </w:r>
      <w:proofErr w:type="spellEnd"/>
      <w:r w:rsidRPr="00E26A12">
        <w:rPr>
          <w:rFonts w:ascii="Georgia" w:hAnsi="Georgia" w:cs="Arial"/>
          <w:spacing w:val="-2"/>
        </w:rPr>
        <w:t xml:space="preserve"> hanno arricchito le solide evidenze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a supporto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nella pratica clinica, con un profilo di efficacia e sicurezza nel mondo reale omogeneo tra i pazienti, che offre un miglioramento dei sintomi e una riduzione dell’ostruzione di </w:t>
      </w:r>
      <w:proofErr w:type="spellStart"/>
      <w:r w:rsidRPr="00E26A12">
        <w:rPr>
          <w:rFonts w:ascii="Georgia" w:hAnsi="Georgia" w:cs="Arial"/>
          <w:spacing w:val="-2"/>
        </w:rPr>
        <w:t>Lvot</w:t>
      </w:r>
      <w:proofErr w:type="spellEnd"/>
      <w:r w:rsidRPr="00E26A12">
        <w:rPr>
          <w:rFonts w:ascii="Georgia" w:hAnsi="Georgia" w:cs="Arial"/>
          <w:spacing w:val="-2"/>
        </w:rPr>
        <w:t xml:space="preserve">. Un'analisi complementare di uno studio osservazionale di registro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in Germania rafforza l'efficacia di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in diverse popolazioni geografiche, con pazienti che raggiungono riduzioni della classe Nyha coerenti con gli studi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precedentemente riportati. Questi risultati si aggiungono alle evidenze esistenti su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confermano che i miglioramenti osservati negli studi clinici si ottengono anche in contesti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>-world.</w:t>
      </w:r>
    </w:p>
    <w:p w14:paraId="453BB2F8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"Per le persone che convivono con 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le evidenze a lungo termine e </w:t>
      </w:r>
      <w:proofErr w:type="spellStart"/>
      <w:r w:rsidRPr="00E26A12">
        <w:rPr>
          <w:rFonts w:ascii="Georgia" w:hAnsi="Georgia" w:cs="Arial"/>
          <w:spacing w:val="-2"/>
        </w:rPr>
        <w:t>real</w:t>
      </w:r>
      <w:proofErr w:type="spellEnd"/>
      <w:r w:rsidRPr="00E26A12">
        <w:rPr>
          <w:rFonts w:ascii="Georgia" w:hAnsi="Georgia" w:cs="Arial"/>
          <w:spacing w:val="-2"/>
        </w:rPr>
        <w:t xml:space="preserve">-world offrono maggiore fiducia nelle decisioni terapeutiche e una comprensione più chiara di cosa possa significare nel tempo una terapia continuativa - dichiara Cristian Massacesi, vicepresidente esecutivo, Chief </w:t>
      </w:r>
      <w:proofErr w:type="spellStart"/>
      <w:r w:rsidRPr="00E26A12">
        <w:rPr>
          <w:rFonts w:ascii="Georgia" w:hAnsi="Georgia" w:cs="Arial"/>
          <w:spacing w:val="-2"/>
        </w:rPr>
        <w:t>Medical</w:t>
      </w:r>
      <w:proofErr w:type="spellEnd"/>
      <w:r w:rsidRPr="00E26A12">
        <w:rPr>
          <w:rFonts w:ascii="Georgia" w:hAnsi="Georgia" w:cs="Arial"/>
          <w:spacing w:val="-2"/>
        </w:rPr>
        <w:t xml:space="preserve"> Officer e responsabile dello sviluppo di Bristol Myers Squibb - Nell'ambito del nostro impegno a promuovere la ricerca cardiovascolare, i dati presentati al Congresso Esc contribuiscono a una maggiore comprensione e fiducia in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e nel suo ruolo nel supportare i pazienti nella gestione dell’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>, una patologia grave che per molti pazienti influisce sulle attività quotidiane".</w:t>
      </w:r>
    </w:p>
    <w:p w14:paraId="1E4DBFB1" w14:textId="77777777" w:rsidR="003D0B4A" w:rsidRPr="00E26A12" w:rsidRDefault="003D0B4A" w:rsidP="003D0B4A">
      <w:pPr>
        <w:pStyle w:val="NormaleWeb"/>
        <w:rPr>
          <w:rFonts w:ascii="Georgia" w:hAnsi="Georgia" w:cs="Arial"/>
          <w:spacing w:val="-2"/>
        </w:rPr>
      </w:pPr>
      <w:r w:rsidRPr="00E26A12">
        <w:rPr>
          <w:rFonts w:ascii="Georgia" w:hAnsi="Georgia" w:cs="Arial"/>
          <w:spacing w:val="-2"/>
        </w:rPr>
        <w:t xml:space="preserve">Supportato dal più ampio programma di evidenze cliniche della classe di trattamento </w:t>
      </w:r>
      <w:proofErr w:type="spellStart"/>
      <w:r w:rsidRPr="00E26A12">
        <w:rPr>
          <w:rFonts w:ascii="Georgia" w:hAnsi="Georgia" w:cs="Arial"/>
          <w:spacing w:val="-2"/>
        </w:rPr>
        <w:t>Cmi</w:t>
      </w:r>
      <w:proofErr w:type="spellEnd"/>
      <w:r w:rsidRPr="00E26A12">
        <w:rPr>
          <w:rFonts w:ascii="Georgia" w:hAnsi="Georgia" w:cs="Arial"/>
          <w:spacing w:val="-2"/>
        </w:rPr>
        <w:t xml:space="preserve"> - conclude la nota - </w:t>
      </w:r>
      <w:proofErr w:type="spellStart"/>
      <w:r w:rsidRPr="00E26A12">
        <w:rPr>
          <w:rFonts w:ascii="Georgia" w:hAnsi="Georgia" w:cs="Arial"/>
          <w:spacing w:val="-2"/>
        </w:rPr>
        <w:t>mavacamten</w:t>
      </w:r>
      <w:proofErr w:type="spellEnd"/>
      <w:r w:rsidRPr="00E26A12">
        <w:rPr>
          <w:rFonts w:ascii="Georgia" w:hAnsi="Georgia" w:cs="Arial"/>
          <w:spacing w:val="-2"/>
        </w:rPr>
        <w:t xml:space="preserve"> sta ridefinendo il trattamento dell'</w:t>
      </w:r>
      <w:proofErr w:type="spellStart"/>
      <w:r w:rsidRPr="00E26A12">
        <w:rPr>
          <w:rFonts w:ascii="Georgia" w:hAnsi="Georgia" w:cs="Arial"/>
          <w:spacing w:val="-2"/>
        </w:rPr>
        <w:t>oHcm</w:t>
      </w:r>
      <w:proofErr w:type="spellEnd"/>
      <w:r w:rsidRPr="00E26A12">
        <w:rPr>
          <w:rFonts w:ascii="Georgia" w:hAnsi="Georgia" w:cs="Arial"/>
          <w:spacing w:val="-2"/>
        </w:rPr>
        <w:t xml:space="preserve"> sintomatica, migliorando capacità funzionale e sintomi e permettendo ai pazienti di condurre una vita quotidiana più attiva.</w:t>
      </w:r>
    </w:p>
    <w:p w14:paraId="27BFBCD9" w14:textId="77777777" w:rsidR="003D0B4A" w:rsidRDefault="003D0B4A" w:rsidP="003D0B4A">
      <w:pPr>
        <w:pStyle w:val="NormaleWeb"/>
        <w:shd w:val="clear" w:color="auto" w:fill="FFFFFF"/>
        <w:spacing w:before="0" w:beforeAutospacing="0"/>
        <w:rPr>
          <w:rFonts w:ascii="Arial" w:hAnsi="Arial" w:cs="Arial"/>
          <w:spacing w:val="-2"/>
          <w:sz w:val="28"/>
        </w:rPr>
      </w:pPr>
    </w:p>
    <w:p w14:paraId="15058D64" w14:textId="480E8D3B" w:rsidR="00B45B64" w:rsidRPr="009E2913" w:rsidRDefault="00B45B64" w:rsidP="002555B2">
      <w:pPr>
        <w:pStyle w:val="NormaleWeb"/>
        <w:shd w:val="clear" w:color="auto" w:fill="FFFFFF"/>
        <w:spacing w:before="0" w:beforeAutospacing="0"/>
        <w:rPr>
          <w:spacing w:val="-2"/>
        </w:rPr>
      </w:pPr>
    </w:p>
    <w:sectPr w:rsidR="00B45B64" w:rsidRPr="009E2913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7BA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716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E3E"/>
    <w:rsid w:val="00125135"/>
    <w:rsid w:val="0012601E"/>
    <w:rsid w:val="00127B3F"/>
    <w:rsid w:val="00127DAB"/>
    <w:rsid w:val="00127F20"/>
    <w:rsid w:val="001315A3"/>
    <w:rsid w:val="00133209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C0402"/>
    <w:rsid w:val="001C2E17"/>
    <w:rsid w:val="001C6183"/>
    <w:rsid w:val="001C716F"/>
    <w:rsid w:val="001C7D34"/>
    <w:rsid w:val="001D112A"/>
    <w:rsid w:val="001D303D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32FF"/>
    <w:rsid w:val="00204B3F"/>
    <w:rsid w:val="0020701B"/>
    <w:rsid w:val="0021169C"/>
    <w:rsid w:val="00212DBE"/>
    <w:rsid w:val="0021707E"/>
    <w:rsid w:val="00220A0D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555B2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CA5"/>
    <w:rsid w:val="002C0336"/>
    <w:rsid w:val="002C323D"/>
    <w:rsid w:val="002D12EE"/>
    <w:rsid w:val="002D1952"/>
    <w:rsid w:val="002D2F4B"/>
    <w:rsid w:val="002D351B"/>
    <w:rsid w:val="002D3819"/>
    <w:rsid w:val="002D5551"/>
    <w:rsid w:val="002D6EBE"/>
    <w:rsid w:val="002D7C1E"/>
    <w:rsid w:val="002E4DC0"/>
    <w:rsid w:val="002E62C4"/>
    <w:rsid w:val="002F29FB"/>
    <w:rsid w:val="002F3892"/>
    <w:rsid w:val="002F4752"/>
    <w:rsid w:val="002F5087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13D0"/>
    <w:rsid w:val="00335A4A"/>
    <w:rsid w:val="00336E7B"/>
    <w:rsid w:val="003374CC"/>
    <w:rsid w:val="003404C3"/>
    <w:rsid w:val="00340BEB"/>
    <w:rsid w:val="003448F9"/>
    <w:rsid w:val="00347F31"/>
    <w:rsid w:val="00350F5D"/>
    <w:rsid w:val="00354F24"/>
    <w:rsid w:val="003572C4"/>
    <w:rsid w:val="003573D9"/>
    <w:rsid w:val="00357DA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968A7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0B4A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B19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083E"/>
    <w:rsid w:val="00461308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3287"/>
    <w:rsid w:val="004C3F81"/>
    <w:rsid w:val="004D454A"/>
    <w:rsid w:val="004E352A"/>
    <w:rsid w:val="004E3861"/>
    <w:rsid w:val="004E427C"/>
    <w:rsid w:val="004E65E4"/>
    <w:rsid w:val="004F05D9"/>
    <w:rsid w:val="004F194E"/>
    <w:rsid w:val="004F3D95"/>
    <w:rsid w:val="004F3ED1"/>
    <w:rsid w:val="004F54F0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F01"/>
    <w:rsid w:val="006900DC"/>
    <w:rsid w:val="006902AB"/>
    <w:rsid w:val="00691482"/>
    <w:rsid w:val="00691716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AA2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6BA1"/>
    <w:rsid w:val="00876851"/>
    <w:rsid w:val="00882D84"/>
    <w:rsid w:val="00883433"/>
    <w:rsid w:val="00884C6D"/>
    <w:rsid w:val="00893CD1"/>
    <w:rsid w:val="00894EF8"/>
    <w:rsid w:val="008951AC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6F1A"/>
    <w:rsid w:val="009D6F53"/>
    <w:rsid w:val="009E0605"/>
    <w:rsid w:val="009E0782"/>
    <w:rsid w:val="009E2913"/>
    <w:rsid w:val="009E297C"/>
    <w:rsid w:val="009E5E5A"/>
    <w:rsid w:val="009F395E"/>
    <w:rsid w:val="009F5BFB"/>
    <w:rsid w:val="009F608C"/>
    <w:rsid w:val="00A025D9"/>
    <w:rsid w:val="00A049FF"/>
    <w:rsid w:val="00A04AB5"/>
    <w:rsid w:val="00A052C8"/>
    <w:rsid w:val="00A1077D"/>
    <w:rsid w:val="00A13274"/>
    <w:rsid w:val="00A13C00"/>
    <w:rsid w:val="00A13DD9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31D86"/>
    <w:rsid w:val="00B36492"/>
    <w:rsid w:val="00B364CA"/>
    <w:rsid w:val="00B379A3"/>
    <w:rsid w:val="00B37B73"/>
    <w:rsid w:val="00B406D6"/>
    <w:rsid w:val="00B4125D"/>
    <w:rsid w:val="00B41E8A"/>
    <w:rsid w:val="00B45B64"/>
    <w:rsid w:val="00B50195"/>
    <w:rsid w:val="00B5095F"/>
    <w:rsid w:val="00B5296E"/>
    <w:rsid w:val="00B52A99"/>
    <w:rsid w:val="00B52C99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869BC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3B33"/>
    <w:rsid w:val="00BC3C99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1E24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28EF"/>
    <w:rsid w:val="00CB48EB"/>
    <w:rsid w:val="00CB5176"/>
    <w:rsid w:val="00CC0FF2"/>
    <w:rsid w:val="00CC138B"/>
    <w:rsid w:val="00CC28DB"/>
    <w:rsid w:val="00CC52DA"/>
    <w:rsid w:val="00CC699B"/>
    <w:rsid w:val="00CD37B1"/>
    <w:rsid w:val="00CD6D23"/>
    <w:rsid w:val="00CE0DE6"/>
    <w:rsid w:val="00CE19F1"/>
    <w:rsid w:val="00CE4885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468E8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3F48"/>
    <w:rsid w:val="00DA5019"/>
    <w:rsid w:val="00DB0FD5"/>
    <w:rsid w:val="00DB127F"/>
    <w:rsid w:val="00DB6572"/>
    <w:rsid w:val="00DC021A"/>
    <w:rsid w:val="00DC0347"/>
    <w:rsid w:val="00DC6F5F"/>
    <w:rsid w:val="00DD3B5C"/>
    <w:rsid w:val="00DD57AF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B7275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1D30"/>
    <w:rsid w:val="00F26B9E"/>
    <w:rsid w:val="00F303EB"/>
    <w:rsid w:val="00F31A21"/>
    <w:rsid w:val="00F336C9"/>
    <w:rsid w:val="00F352E8"/>
    <w:rsid w:val="00F37ECE"/>
    <w:rsid w:val="00F4025A"/>
    <w:rsid w:val="00F40BCA"/>
    <w:rsid w:val="00F40C6F"/>
    <w:rsid w:val="00F43CF8"/>
    <w:rsid w:val="00F457D6"/>
    <w:rsid w:val="00F46D7D"/>
    <w:rsid w:val="00F52EC4"/>
    <w:rsid w:val="00F5391C"/>
    <w:rsid w:val="00F543CB"/>
    <w:rsid w:val="00F56CCC"/>
    <w:rsid w:val="00F61D9E"/>
    <w:rsid w:val="00F70BB0"/>
    <w:rsid w:val="00F740FD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8" Type="http://schemas.openxmlformats.org/officeDocument/2006/relationships/image" Target="media/image_rId8_document.jpeg"/><Relationship Id="rId9" Type="http://schemas.openxmlformats.org/officeDocument/2006/relationships/image" Target="media/logo_922e3a4ac2730605.jpeg"/><Relationship Id="rId10" Type="http://schemas.openxmlformats.org/officeDocument/2006/relationships/image" Target="media/logo_b3e1c971ca9695a3.jpeg"/><Relationship Id="rId11" Type="http://schemas.openxmlformats.org/officeDocument/2006/relationships/image" Target="media/logo_a53fd8dfb2b51418.jpeg"/><Relationship Id="rId12" Type="http://schemas.openxmlformats.org/officeDocument/2006/relationships/image" Target="media/logo_923ce2446bfecc70.jpeg"/><Relationship Id="rId13" Type="http://schemas.openxmlformats.org/officeDocument/2006/relationships/image" Target="media/logo_9c8239ec1d8020ea.jpeg"/><Relationship Id="rId14" Type="http://schemas.openxmlformats.org/officeDocument/2006/relationships/image" Target="media/logo_ebfb41f221b744f7.jpeg"/><Relationship Id="rId15" Type="http://schemas.openxmlformats.org/officeDocument/2006/relationships/image" Target="media/logo_d4c4f7569c8bd831.jpeg"/><Relationship Id="rId16" Type="http://schemas.openxmlformats.org/officeDocument/2006/relationships/image" Target="media/logo_7667f278fb311500.jpeg"/><Relationship Id="rId17" Type="http://schemas.openxmlformats.org/officeDocument/2006/relationships/image" Target="media/logo_3b008a098a075531.jpeg"/><Relationship Id="rId18" Type="http://schemas.openxmlformats.org/officeDocument/2006/relationships/image" Target="media/logo_32e5b1d9ace7e8cf.jpeg"/><Relationship Id="rId19" Type="http://schemas.openxmlformats.org/officeDocument/2006/relationships/image" Target="media/logo_464d5c8a8a09640d.jpeg"/><Relationship Id="rId20" Type="http://schemas.openxmlformats.org/officeDocument/2006/relationships/image" Target="media/logo_e8a00725630ee2b5.jpeg"/><Relationship Id="rId21" Type="http://schemas.openxmlformats.org/officeDocument/2006/relationships/image" Target="media/logo_3bb44345aa6be63c.jpeg"/><Relationship Id="rId22" Type="http://schemas.openxmlformats.org/officeDocument/2006/relationships/image" Target="media/logo_a97b0a0e9f4042ff.jpeg"/><Relationship Id="rId23" Type="http://schemas.openxmlformats.org/officeDocument/2006/relationships/image" Target="media/logo_3898233e4553cccb.jpeg"/><Relationship Id="rId24" Type="http://schemas.openxmlformats.org/officeDocument/2006/relationships/image" Target="media/logo_7fdba91ac3f28342.jpeg"/><Relationship Id="rId25" Type="http://schemas.openxmlformats.org/officeDocument/2006/relationships/image" Target="media/logo_927157a05a5ea925.jpeg"/><Relationship Id="rId26" Type="http://schemas.openxmlformats.org/officeDocument/2006/relationships/image" Target="media/logo_af55807b610c98b5.jpeg"/><Relationship Id="rId27" Type="http://schemas.openxmlformats.org/officeDocument/2006/relationships/image" Target="media/logo_7496e41ae5bc26ef.jpeg"/><Relationship Id="rId28" Type="http://schemas.openxmlformats.org/officeDocument/2006/relationships/image" Target="media/logo_9222b9e4415d59e9.jpeg"/><Relationship Id="rId29" Type="http://schemas.openxmlformats.org/officeDocument/2006/relationships/image" Target="media/logo_e1bb005cb357235b.jpeg"/><Relationship Id="rId30" Type="http://schemas.openxmlformats.org/officeDocument/2006/relationships/image" Target="media/logo_0a7bba2f93b3dc82.jpeg"/><Relationship Id="rId31" Type="http://schemas.openxmlformats.org/officeDocument/2006/relationships/image" Target="media/logo_30b67c6d7b864e45.jpeg"/><Relationship Id="rId32" Type="http://schemas.openxmlformats.org/officeDocument/2006/relationships/image" Target="media/logo_a0968a0a8b32642d.jpeg"/><Relationship Id="rId33" Type="http://schemas.openxmlformats.org/officeDocument/2006/relationships/image" Target="media/logo_430348f60218f4d2.jpeg"/><Relationship Id="rId34" Type="http://schemas.openxmlformats.org/officeDocument/2006/relationships/image" Target="media/logo_85679dacd35949ca.jpeg"/><Relationship Id="rId35" Type="http://schemas.openxmlformats.org/officeDocument/2006/relationships/image" Target="media/logo_9f4ad2493dd07d74.jpeg"/><Relationship Id="rId36" Type="http://schemas.openxmlformats.org/officeDocument/2006/relationships/image" Target="media/logo_d95b6b0abe84d0fd.jpeg"/><Relationship Id="rId37" Type="http://schemas.openxmlformats.org/officeDocument/2006/relationships/image" Target="media/logo_2d7c2654697359c1.jpeg"/><Relationship Id="rId38" Type="http://schemas.openxmlformats.org/officeDocument/2006/relationships/image" Target="media/logo_ee382661e02c39cc.jpeg"/><Relationship Id="rId39" Type="http://schemas.openxmlformats.org/officeDocument/2006/relationships/image" Target="media/logo_05108de86d92fd2a.jpeg"/><Relationship Id="rId40" Type="http://schemas.openxmlformats.org/officeDocument/2006/relationships/image" Target="media/logo_bb64f53f05af2bd4.jpeg"/><Relationship Id="rId41" Type="http://schemas.openxmlformats.org/officeDocument/2006/relationships/image" Target="media/logo_8b914708fb1583fe.jpeg"/><Relationship Id="rId42" Type="http://schemas.openxmlformats.org/officeDocument/2006/relationships/image" Target="media/logo_e4143154603af242.jpeg"/><Relationship Id="rId43" Type="http://schemas.openxmlformats.org/officeDocument/2006/relationships/image" Target="media/logo_c2c930a16c93a0b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759</Words>
  <Characters>4459</Characters>
  <Application>Microsoft Office Word</Application>
  <DocSecurity>0</DocSecurity>
  <Lines>64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Aurora Musicco</cp:lastModifiedBy>
  <cp:revision>146</cp:revision>
  <cp:lastPrinted>2026-06-03T06:48:00Z</cp:lastPrinted>
  <dcterms:created xsi:type="dcterms:W3CDTF">2026-06-09T11:52:00Z</dcterms:created>
  <dcterms:modified xsi:type="dcterms:W3CDTF">2026-09-10T12:06:00Z</dcterms:modified>
</cp:coreProperties>
</file>